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91CC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BILJEŠKE UZ FINANCIJSKE IZVJEŠTAJE ZA RAZDOBLJE OD 1. SIJEČNJA DO 30. LIPNJA 2026. GODINE</w:t>
      </w:r>
    </w:p>
    <w:p w14:paraId="20DE18A7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Osnovna škola Vladimira Nazora Crikvenica sastavila je financijske izvještaje za razdoblje od 1. siječnja do 30. lipnja 2026. godine u skladu s propisima koji uređuju proračunsko računovodstvo i financijsko izvještavanje u proračunskom sustavu.</w:t>
      </w:r>
    </w:p>
    <w:p w14:paraId="03647478" w14:textId="77777777" w:rsidR="002B6D51" w:rsidRPr="00EE1003" w:rsidRDefault="002B6D51" w:rsidP="002B6D5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Bilješke uz Izvještaj o prihodima i rashodima, primicima i izdacima – PR-RAS</w:t>
      </w:r>
    </w:p>
    <w:p w14:paraId="3FD4E31B" w14:textId="2AB7835F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prihodi poslovanja u izvještajnom razdoblju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1.291.657,46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su u istom razdoblju prethodne godine iznosili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1.044.892,02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Prihodi su povećani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246.765,44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23,6 %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5194F89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Najznačajniji dio prihoda odnosi se na pomoći iz inozemstva i od subjekata unutar općeg proračuna, koje su ostvarene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981.092,13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U odnosu na isto razdoblje prethodne godine povećane su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171.399,64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70D149D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Tekuće pomoći proračunskim korisnicima iz proračuna koji im nije nadležan ostvarene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890.554,26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su kapitalne pomoći ostvarene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23.375,97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BDC7657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Pomoći temeljem prijenosa sredstava Europske unije ostvarene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67.161,90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predstavlja značajno povećanje u odnosu na prethodnu godinu, kada su iznosile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1.045,96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Povećanje se odnosi na provedbu aktivnosti i projekata financiranih odnosno sufinanciranih sredstvima Europske unije.</w:t>
      </w:r>
    </w:p>
    <w:p w14:paraId="03B4E75D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po posebnim propisima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59.089,96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5.009,62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manje u odnosu na isto razdoblje prethodne godine. Ovi prihodi najvećim se dijelom odnose na prihode od roditeljskih uplata i ostale namjenske prihode škole.</w:t>
      </w:r>
    </w:p>
    <w:p w14:paraId="4E1C82B9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prodaje proizvoda i robe te pruženih usluga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7.809,35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Od navedenog iznosa,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6.000,00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odnosi se na prihode od pruženih usluga, 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1.809,35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na prihode od prodaje proizvoda i robe.</w:t>
      </w:r>
    </w:p>
    <w:p w14:paraId="36CFC5EE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iz nadležnog proračuna za financiranje redovne djelatnosti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243.666,02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povećanje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79.502,26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u odnosu na prethodno izvještajno razdoblje. Za financiranje rashoda poslovanja ostvareno je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202.255,97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je za nabavu nefinancijske imovine ostvareno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41.410,05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BE90351" w14:textId="46DAF935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 poslovanja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1.162.868,64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su u istom razdoblju prethodne godine iznosili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1.160.135,25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Rashodi poslovanja povećani su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2.733,39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za svega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0,2 %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5311BB0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zaposlene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937.461,35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36.775,26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3,8 %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manje nego u istom razdoblju prethodne godine. Najveći dio rashoda za zaposlene odnosi se na plaće za redovan rad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760.303,81 euro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ostale rashode za zaposlene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34.959,44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te doprinose za zdravstveno osiguranje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124.919,56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7FFD993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Materijalni rashodi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225.401,51 euro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te su u odnosu na prethodnu godinu povećani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40.242,00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21,7 %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4A9D71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Rashodi za materijal i energiju iznosili su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74.825,00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Povećanje je najvećim dijelom rezultat većih rashoda za uredski i ostali materijal, materijal i sirovine te energiju. Rashodi za energiju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14.931,88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su u prethodnoj godini iznosili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4.382,15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286C501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usluge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99.864,08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13.665,24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više nego u istom razdoblju prethodne godine. Značajnije povećanje vidljivo je kod komunalnih usluga, intelektualnih i osobnih usluga te računalnih usluga. Rashodi za intelektualne i osobne usluge povećani su s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1.125,00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na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8.294,90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7407FBE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nabavu nefinancijske imovine ostvareni su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19.814,74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dok su u prethodnom izvještajnom razdoblju iznosili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7.429,11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Povećanje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12.385,63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odnosi se na nabavu i ulaganja u dugotrajnu nefinancijsku imovinu potrebnu za obavljanje djelatnosti škole.</w:t>
      </w:r>
    </w:p>
    <w:p w14:paraId="107187B3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U izvještajnom razdoblju ostvaren je višak prihoda poslovanja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128.788,82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Nakon umanjenja za manjak prihoda od nefinancijske imovine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19.814,74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ostvaren je ukupan višak prihoda i primitaka tekućeg razdoblja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108.974,08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6F922D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Preneseni manjak prihoda i primitaka iz prethodnog razdoblja iznosi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167.788,60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Nakon uključivanja rezultata tekućeg razdoblja, manjak prihoda i primitaka za pokriće u sljedećem razdoblju iznosi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82.814,52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U odnosu na isto razdoblje prethodne godine, kada je manjak iznosio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147.536,83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preneseni manjak smanjen je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64.722,31 euro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47B25F" w14:textId="77777777" w:rsidR="002B6D51" w:rsidRPr="00EE1003" w:rsidRDefault="002B6D51" w:rsidP="002B6D5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Bilješke uz Izvještaj o obvezama</w:t>
      </w:r>
    </w:p>
    <w:p w14:paraId="5E92C140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obveza na dan 1. siječnja 2026. godine iznosilo je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218.867,98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0C8CD1" w14:textId="5254289B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 izvještajnog razdoblja evidentirano je povećanje obveza u ukupnom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1.199.115,24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Najveći dio povećanja odnosi se na obveze za rashode poslovanja u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1.170.836,79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 čega se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946.179,13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odnosi na obveze za zaposlene, 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224.651,88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na obveze za materijalne rashode.</w:t>
      </w:r>
    </w:p>
    <w:p w14:paraId="5F82FC39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 obveza za nabavu nefinancijske imovine iznosilo je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19.814,74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dok su obveze za predujmove, depozite, </w:t>
      </w:r>
      <w:proofErr w:type="spellStart"/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jamčevne</w:t>
      </w:r>
      <w:proofErr w:type="spellEnd"/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pologe</w:t>
      </w:r>
      <w:proofErr w:type="spellEnd"/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tuđe prihode iznosile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8.463,71 euro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130FCB" w14:textId="67EFD9DA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U izvještajnom razdoblju podmirene su obveze u ukupnom iznosu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1.240.835,72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 Od navedenog iznosa, na podmirene obveze za rashode poslovanja odnosi se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1.184.997,58 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a na obveze za nabavu nefinancijske imovine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53.998,19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51A69A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obveza na dan 30. lipnja 2026. godine iznosi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177.147,50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41.720,48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za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19,1 %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, manje u odnosu na stanje obveza na početku godine.</w:t>
      </w:r>
    </w:p>
    <w:p w14:paraId="2C714334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Na kraju izvještajnog razdoblja škola nema dospjelih nepodmirenih obveza. Cjelokupni iznos obveza od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177.147,50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odnosi se na nedospjele obveze.</w:t>
      </w:r>
    </w:p>
    <w:p w14:paraId="102BF2E4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ukupnih nedospjelih obveza,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169.491,58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odnosi se na obveze za rashode poslovanja, a </w:t>
      </w: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7.655,92 eura</w:t>
      </w: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 na međusobne obveze subjekata općeg proračuna.</w:t>
      </w:r>
    </w:p>
    <w:p w14:paraId="0111D5DF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Obveze se podmiruju prema rokovima dospijeća i u skladu s priljevom sredstava iz nadležnog proračuna i ostalih izvora financiranja.</w:t>
      </w:r>
    </w:p>
    <w:p w14:paraId="2446729A" w14:textId="77777777" w:rsidR="002B6D51" w:rsidRPr="00EE1003" w:rsidRDefault="002B6D51" w:rsidP="002B6D5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Bilješke uz ostale financijske izvještaje</w:t>
      </w:r>
    </w:p>
    <w:p w14:paraId="3DA74654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U Izvještaju o promjenama u vrijednosti i obujmu imovine i obveza – P-VRIO nisu iskazane promjene u vrijednosti niti promjene u obujmu imovine i obveza.</w:t>
      </w:r>
    </w:p>
    <w:p w14:paraId="5541D553" w14:textId="77777777" w:rsidR="002B6D51" w:rsidRPr="00EE1003" w:rsidRDefault="002B6D51" w:rsidP="00EE1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003">
        <w:rPr>
          <w:rFonts w:ascii="Times New Roman" w:eastAsia="Times New Roman" w:hAnsi="Times New Roman" w:cs="Times New Roman"/>
          <w:sz w:val="24"/>
          <w:szCs w:val="24"/>
          <w:lang w:eastAsia="hr-HR"/>
        </w:rPr>
        <w:t>Podaci u obrascu Bilanca i Izvještaju o rashodima prema funkcijskoj klasifikaciji u dostavljenoj datoteci nisu popunjeni, stoga uz navedene obrasce nije moguće sastaviti detaljnije usporedne bilješke.</w:t>
      </w:r>
    </w:p>
    <w:p w14:paraId="59A1BA5A" w14:textId="77777777" w:rsidR="0012319E" w:rsidRPr="00EE1003" w:rsidRDefault="0012319E">
      <w:pPr>
        <w:rPr>
          <w:rFonts w:ascii="Times New Roman" w:hAnsi="Times New Roman" w:cs="Times New Roman"/>
          <w:sz w:val="24"/>
          <w:szCs w:val="24"/>
        </w:rPr>
      </w:pPr>
    </w:p>
    <w:sectPr w:rsidR="0012319E" w:rsidRPr="00EE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D51"/>
    <w:rsid w:val="0012319E"/>
    <w:rsid w:val="002B6D51"/>
    <w:rsid w:val="00A36367"/>
    <w:rsid w:val="00E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90B5"/>
  <w15:chartTrackingRefBased/>
  <w15:docId w15:val="{794D85CF-F590-4815-B2E4-0CB05F33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Daliborka Todorović</cp:lastModifiedBy>
  <cp:revision>2</cp:revision>
  <dcterms:created xsi:type="dcterms:W3CDTF">2026-07-14T08:16:00Z</dcterms:created>
  <dcterms:modified xsi:type="dcterms:W3CDTF">2026-08-03T11:22:00Z</dcterms:modified>
</cp:coreProperties>
</file>